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8F8" w14:textId="7C6DB28A" w:rsidR="00E446DA" w:rsidRPr="00F40504" w:rsidRDefault="00E446DA" w:rsidP="00DD2E50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Queensland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University of Technology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>QUT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) Council (</w:t>
      </w:r>
      <w:r w:rsidR="001D36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Council)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is the governing body of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QUT </w:t>
      </w:r>
      <w:r w:rsidR="001D360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established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by the </w:t>
      </w:r>
      <w:r w:rsidR="00F40504" w:rsidRPr="00F40504">
        <w:rPr>
          <w:rFonts w:ascii="Arial" w:hAnsi="Arial" w:cs="Arial"/>
          <w:i/>
          <w:color w:val="auto"/>
          <w:sz w:val="22"/>
        </w:rPr>
        <w:t>Queensland</w:t>
      </w:r>
      <w:r w:rsidR="00790E2C">
        <w:rPr>
          <w:rFonts w:ascii="Arial" w:hAnsi="Arial" w:cs="Arial"/>
          <w:i/>
          <w:color w:val="auto"/>
          <w:sz w:val="22"/>
        </w:rPr>
        <w:t xml:space="preserve"> University of Technology</w:t>
      </w:r>
      <w:r w:rsidR="00F40504" w:rsidRPr="00F40504">
        <w:rPr>
          <w:rFonts w:ascii="Arial" w:hAnsi="Arial" w:cs="Arial"/>
          <w:i/>
          <w:color w:val="auto"/>
          <w:sz w:val="22"/>
        </w:rPr>
        <w:t xml:space="preserve"> Act 1998</w:t>
      </w:r>
      <w:r w:rsidR="00F40504" w:rsidRPr="00F40504">
        <w:rPr>
          <w:rFonts w:ascii="Arial" w:hAnsi="Arial" w:cs="Arial"/>
          <w:color w:val="auto"/>
          <w:sz w:val="22"/>
        </w:rPr>
        <w:t xml:space="preserve">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(</w:t>
      </w:r>
      <w:r w:rsidR="006C19D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14:paraId="668A88F9" w14:textId="38728A19" w:rsidR="00E446DA" w:rsidRDefault="00E446DA" w:rsidP="00DD2E50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Section 5 of the Act outlines the functions of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QUT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which include providing education at university standard and courses of study or instruction (at the levels of achievement the </w:t>
      </w:r>
      <w:r w:rsidR="004A51EF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ouncil</w:t>
      </w:r>
      <w:r w:rsidR="00774B8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considers appropriate) to meet the needs of the community.</w:t>
      </w:r>
    </w:p>
    <w:p w14:paraId="40218FB0" w14:textId="77777777" w:rsidR="003C0458" w:rsidRPr="003C0458" w:rsidRDefault="003C0458" w:rsidP="00DD2E50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C0458">
        <w:rPr>
          <w:rFonts w:ascii="Arial" w:hAnsi="Arial" w:cs="Arial"/>
          <w:bCs/>
          <w:color w:val="auto"/>
          <w:spacing w:val="-3"/>
          <w:sz w:val="22"/>
          <w:szCs w:val="22"/>
        </w:rPr>
        <w:t>Sections 7 to 10 of the Act establish the Council as QUT’s governing body and give it overall responsibility to ensure sound and effective governance. The Act confers the powers on the Council including to:</w:t>
      </w:r>
    </w:p>
    <w:p w14:paraId="62923731" w14:textId="77777777" w:rsidR="003C0458" w:rsidRPr="003C0458" w:rsidRDefault="003C0458" w:rsidP="00DD2E50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120"/>
        <w:ind w:left="709" w:right="21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C0458">
        <w:rPr>
          <w:rFonts w:ascii="Arial" w:hAnsi="Arial" w:cs="Arial"/>
          <w:sz w:val="22"/>
          <w:szCs w:val="22"/>
        </w:rPr>
        <w:t>appoint the university’s staff;</w:t>
      </w:r>
    </w:p>
    <w:p w14:paraId="1E5C2DFE" w14:textId="77777777" w:rsidR="003C0458" w:rsidRPr="003C0458" w:rsidRDefault="003C0458" w:rsidP="00DD2E50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120"/>
        <w:ind w:left="709" w:right="21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C0458">
        <w:rPr>
          <w:rFonts w:ascii="Arial" w:hAnsi="Arial" w:cs="Arial"/>
          <w:sz w:val="22"/>
          <w:szCs w:val="22"/>
        </w:rPr>
        <w:t>manage and control the university’s affairs and property; and</w:t>
      </w:r>
    </w:p>
    <w:p w14:paraId="1D28C530" w14:textId="37C31E4C" w:rsidR="003C0458" w:rsidRPr="003C0458" w:rsidRDefault="003C0458" w:rsidP="00DD2E50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120"/>
        <w:ind w:left="709" w:right="21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C0458">
        <w:rPr>
          <w:rFonts w:ascii="Arial" w:hAnsi="Arial" w:cs="Arial"/>
          <w:sz w:val="22"/>
          <w:szCs w:val="22"/>
        </w:rPr>
        <w:t>manage and control the university’s finances.</w:t>
      </w:r>
    </w:p>
    <w:p w14:paraId="668A88FB" w14:textId="31D61E21" w:rsidR="00E446DA" w:rsidRPr="00F40504" w:rsidRDefault="00E446DA" w:rsidP="00D81140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a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>22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-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member Council</w:t>
      </w:r>
      <w:r w:rsidR="006023DF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including </w:t>
      </w:r>
      <w:r w:rsidR="00790E2C">
        <w:rPr>
          <w:rFonts w:ascii="Arial" w:hAnsi="Arial" w:cs="Arial"/>
          <w:bCs/>
          <w:color w:val="auto"/>
          <w:spacing w:val="-3"/>
          <w:sz w:val="22"/>
          <w:szCs w:val="22"/>
        </w:rPr>
        <w:t>eight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members appointed by </w:t>
      </w:r>
      <w:r w:rsidR="004A51EF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668A88FC" w14:textId="37F2A01E" w:rsidR="00E446DA" w:rsidRPr="00F40504" w:rsidRDefault="00AE0535" w:rsidP="00D81140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D2E50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="009D5293" w:rsidRPr="00DD2E50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</w:t>
      </w:r>
      <w:r w:rsidR="00E446DA" w:rsidRPr="00DD2E50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790E2C" w:rsidRPr="00790E2C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Michael Gooda, Mr Peter Howes, Ms Jennifer Parker, Dr Susan Pond AM, Ms Susan Rix AM, Mr Paul Lindstrom, Mr Dominic McGann and Ms Karen Spiller OAM 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as appointed members to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3C0458">
        <w:rPr>
          <w:rFonts w:ascii="Arial" w:hAnsi="Arial" w:cs="Arial"/>
          <w:bCs/>
          <w:color w:val="auto"/>
          <w:spacing w:val="-3"/>
          <w:sz w:val="22"/>
          <w:szCs w:val="22"/>
        </w:rPr>
        <w:t>Queensland University of Technology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Council </w:t>
      </w:r>
      <w:r w:rsidR="00A91ED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A569C7">
        <w:rPr>
          <w:rFonts w:ascii="Arial" w:hAnsi="Arial" w:cs="Arial"/>
          <w:bCs/>
          <w:color w:val="auto"/>
          <w:spacing w:val="-3"/>
          <w:sz w:val="22"/>
          <w:szCs w:val="22"/>
        </w:rPr>
        <w:t>1 October</w:t>
      </w:r>
      <w:r w:rsidR="00774B8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2021</w:t>
      </w:r>
      <w:r w:rsidR="00A91EDB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 </w:t>
      </w:r>
      <w:r w:rsidR="00A569C7">
        <w:rPr>
          <w:rFonts w:ascii="Arial" w:hAnsi="Arial" w:cs="Arial"/>
          <w:bCs/>
          <w:color w:val="auto"/>
          <w:spacing w:val="-3"/>
          <w:sz w:val="22"/>
          <w:szCs w:val="22"/>
        </w:rPr>
        <w:t>3</w:t>
      </w:r>
      <w:r w:rsidR="00055052">
        <w:rPr>
          <w:rFonts w:ascii="Arial" w:hAnsi="Arial" w:cs="Arial"/>
          <w:bCs/>
          <w:color w:val="auto"/>
          <w:spacing w:val="-3"/>
          <w:sz w:val="22"/>
          <w:szCs w:val="22"/>
        </w:rPr>
        <w:t>0</w:t>
      </w:r>
      <w:r w:rsidR="00A569C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September</w:t>
      </w:r>
      <w:r w:rsidR="00774B8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0504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2025</w:t>
      </w:r>
      <w:r w:rsidR="00E446DA" w:rsidRPr="00F40504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14E6597E" w:rsidR="00774B8A" w:rsidRDefault="00774B8A" w:rsidP="00D81140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sz w:val="22"/>
          <w:szCs w:val="22"/>
        </w:rPr>
      </w:pPr>
      <w:r w:rsidRPr="00DD2E5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DD2E50">
        <w:rPr>
          <w:rFonts w:ascii="Arial" w:hAnsi="Arial" w:cs="Arial"/>
          <w:sz w:val="22"/>
          <w:szCs w:val="22"/>
        </w:rPr>
        <w:t>:</w:t>
      </w:r>
    </w:p>
    <w:p w14:paraId="668A890B" w14:textId="6BA74CAC" w:rsidR="004A4162" w:rsidRPr="00F9640B" w:rsidRDefault="00774B8A" w:rsidP="00DD2E50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120"/>
        <w:ind w:left="709" w:right="21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Nil.</w:t>
      </w:r>
    </w:p>
    <w:sectPr w:rsidR="004A4162" w:rsidRPr="00F9640B" w:rsidSect="005F396A">
      <w:headerReference w:type="default" r:id="rId11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B67B" w14:textId="77777777" w:rsidR="00796566" w:rsidRDefault="00796566">
      <w:r>
        <w:separator/>
      </w:r>
    </w:p>
  </w:endnote>
  <w:endnote w:type="continuationSeparator" w:id="0">
    <w:p w14:paraId="41A6DA7D" w14:textId="77777777" w:rsidR="00796566" w:rsidRDefault="007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814A" w14:textId="77777777" w:rsidR="00796566" w:rsidRDefault="00796566">
      <w:r>
        <w:separator/>
      </w:r>
    </w:p>
  </w:footnote>
  <w:footnote w:type="continuationSeparator" w:id="0">
    <w:p w14:paraId="72353AD3" w14:textId="77777777" w:rsidR="00796566" w:rsidRDefault="0079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74906A72" w:rsidR="006F737C" w:rsidRPr="00937A4A" w:rsidRDefault="00AE0535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D64ECF">
      <w:rPr>
        <w:rFonts w:ascii="Arial" w:hAnsi="Arial" w:cs="Arial"/>
        <w:b/>
        <w:sz w:val="22"/>
        <w:szCs w:val="22"/>
      </w:rPr>
      <w:t xml:space="preserve"> </w:t>
    </w:r>
    <w:r w:rsidR="006F737C" w:rsidRPr="00D64ECF">
      <w:rPr>
        <w:rFonts w:ascii="Arial" w:hAnsi="Arial" w:cs="Arial"/>
        <w:b/>
        <w:sz w:val="22"/>
        <w:szCs w:val="22"/>
      </w:rPr>
      <w:t xml:space="preserve">– </w:t>
    </w:r>
    <w:r w:rsidR="00D64ECF" w:rsidRPr="00D64ECF">
      <w:rPr>
        <w:rFonts w:ascii="Arial" w:hAnsi="Arial" w:cs="Arial"/>
        <w:b/>
        <w:sz w:val="22"/>
        <w:szCs w:val="22"/>
      </w:rPr>
      <w:t>September 2021</w:t>
    </w:r>
  </w:p>
  <w:p w14:paraId="668A8922" w14:textId="4CEBBCBE" w:rsidR="006F737C" w:rsidRPr="00F40504" w:rsidRDefault="001F1E6C" w:rsidP="00D81140">
    <w:pPr>
      <w:keepLines/>
      <w:spacing w:before="120"/>
      <w:jc w:val="both"/>
      <w:rPr>
        <w:color w:val="auto"/>
      </w:rPr>
    </w:pP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790E2C">
      <w:rPr>
        <w:rFonts w:ascii="Arial" w:hAnsi="Arial" w:cs="Arial"/>
        <w:b/>
        <w:color w:val="auto"/>
        <w:sz w:val="22"/>
        <w:szCs w:val="22"/>
        <w:u w:val="single"/>
      </w:rPr>
      <w:t>eight</w:t>
    </w:r>
    <w:r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 members to the 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Queensland </w:t>
    </w:r>
    <w:r w:rsidR="00790E2C">
      <w:rPr>
        <w:rFonts w:ascii="Arial" w:hAnsi="Arial" w:cs="Arial"/>
        <w:b/>
        <w:color w:val="auto"/>
        <w:sz w:val="22"/>
        <w:szCs w:val="22"/>
        <w:u w:val="single"/>
      </w:rPr>
      <w:t xml:space="preserve">University of Technology </w:t>
    </w:r>
    <w:r w:rsidR="00F40504" w:rsidRPr="00F40504">
      <w:rPr>
        <w:rFonts w:ascii="Arial" w:hAnsi="Arial" w:cs="Arial"/>
        <w:b/>
        <w:color w:val="auto"/>
        <w:sz w:val="22"/>
        <w:szCs w:val="22"/>
        <w:u w:val="single"/>
      </w:rPr>
      <w:t xml:space="preserve">Council </w:t>
    </w:r>
  </w:p>
  <w:p w14:paraId="668A8923" w14:textId="6EEB0979" w:rsidR="006F737C" w:rsidRDefault="006F737C" w:rsidP="00D81140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40504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  <w:r w:rsidR="00F4050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D81140">
    <w:pPr>
      <w:pStyle w:val="Header"/>
      <w:pBdr>
        <w:bottom w:val="single" w:sz="4" w:space="1" w:color="auto"/>
      </w:pBdr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71E5477"/>
    <w:multiLevelType w:val="hybridMultilevel"/>
    <w:tmpl w:val="2092C67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30EB"/>
    <w:multiLevelType w:val="hybridMultilevel"/>
    <w:tmpl w:val="C5BC4DCE"/>
    <w:lvl w:ilvl="0" w:tplc="6AEAFD26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6082C364">
      <w:numFmt w:val="bullet"/>
      <w:lvlText w:val="•"/>
      <w:lvlJc w:val="left"/>
      <w:pPr>
        <w:ind w:left="1468" w:hanging="284"/>
      </w:pPr>
      <w:rPr>
        <w:rFonts w:hint="default"/>
        <w:lang w:val="en-AU" w:eastAsia="en-US" w:bidi="ar-SA"/>
      </w:rPr>
    </w:lvl>
    <w:lvl w:ilvl="2" w:tplc="66CADCB0">
      <w:numFmt w:val="bullet"/>
      <w:lvlText w:val="•"/>
      <w:lvlJc w:val="left"/>
      <w:pPr>
        <w:ind w:left="2437" w:hanging="284"/>
      </w:pPr>
      <w:rPr>
        <w:rFonts w:hint="default"/>
        <w:lang w:val="en-AU" w:eastAsia="en-US" w:bidi="ar-SA"/>
      </w:rPr>
    </w:lvl>
    <w:lvl w:ilvl="3" w:tplc="F2F6819A">
      <w:numFmt w:val="bullet"/>
      <w:lvlText w:val="•"/>
      <w:lvlJc w:val="left"/>
      <w:pPr>
        <w:ind w:left="3405" w:hanging="284"/>
      </w:pPr>
      <w:rPr>
        <w:rFonts w:hint="default"/>
        <w:lang w:val="en-AU" w:eastAsia="en-US" w:bidi="ar-SA"/>
      </w:rPr>
    </w:lvl>
    <w:lvl w:ilvl="4" w:tplc="85626EE0">
      <w:numFmt w:val="bullet"/>
      <w:lvlText w:val="•"/>
      <w:lvlJc w:val="left"/>
      <w:pPr>
        <w:ind w:left="4374" w:hanging="284"/>
      </w:pPr>
      <w:rPr>
        <w:rFonts w:hint="default"/>
        <w:lang w:val="en-AU" w:eastAsia="en-US" w:bidi="ar-SA"/>
      </w:rPr>
    </w:lvl>
    <w:lvl w:ilvl="5" w:tplc="E070AEF4">
      <w:numFmt w:val="bullet"/>
      <w:lvlText w:val="•"/>
      <w:lvlJc w:val="left"/>
      <w:pPr>
        <w:ind w:left="5343" w:hanging="284"/>
      </w:pPr>
      <w:rPr>
        <w:rFonts w:hint="default"/>
        <w:lang w:val="en-AU" w:eastAsia="en-US" w:bidi="ar-SA"/>
      </w:rPr>
    </w:lvl>
    <w:lvl w:ilvl="6" w:tplc="5B22A486">
      <w:numFmt w:val="bullet"/>
      <w:lvlText w:val="•"/>
      <w:lvlJc w:val="left"/>
      <w:pPr>
        <w:ind w:left="6311" w:hanging="284"/>
      </w:pPr>
      <w:rPr>
        <w:rFonts w:hint="default"/>
        <w:lang w:val="en-AU" w:eastAsia="en-US" w:bidi="ar-SA"/>
      </w:rPr>
    </w:lvl>
    <w:lvl w:ilvl="7" w:tplc="54D041F8">
      <w:numFmt w:val="bullet"/>
      <w:lvlText w:val="•"/>
      <w:lvlJc w:val="left"/>
      <w:pPr>
        <w:ind w:left="7280" w:hanging="284"/>
      </w:pPr>
      <w:rPr>
        <w:rFonts w:hint="default"/>
        <w:lang w:val="en-AU" w:eastAsia="en-US" w:bidi="ar-SA"/>
      </w:rPr>
    </w:lvl>
    <w:lvl w:ilvl="8" w:tplc="460227B2">
      <w:numFmt w:val="bullet"/>
      <w:lvlText w:val="•"/>
      <w:lvlJc w:val="left"/>
      <w:pPr>
        <w:ind w:left="8249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059750">
    <w:abstractNumId w:val="5"/>
  </w:num>
  <w:num w:numId="2" w16cid:durableId="442117431">
    <w:abstractNumId w:val="6"/>
  </w:num>
  <w:num w:numId="3" w16cid:durableId="2092313349">
    <w:abstractNumId w:val="3"/>
  </w:num>
  <w:num w:numId="4" w16cid:durableId="1278635566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316633">
    <w:abstractNumId w:val="2"/>
  </w:num>
  <w:num w:numId="6" w16cid:durableId="45645104">
    <w:abstractNumId w:val="4"/>
  </w:num>
  <w:num w:numId="7" w16cid:durableId="12865453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052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D3602"/>
    <w:rsid w:val="001F02E8"/>
    <w:rsid w:val="001F1E6C"/>
    <w:rsid w:val="0024318C"/>
    <w:rsid w:val="00252D6C"/>
    <w:rsid w:val="00252E60"/>
    <w:rsid w:val="00253BEA"/>
    <w:rsid w:val="002676EC"/>
    <w:rsid w:val="002677FF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66952"/>
    <w:rsid w:val="00392ABB"/>
    <w:rsid w:val="003968DB"/>
    <w:rsid w:val="003A0984"/>
    <w:rsid w:val="003C0458"/>
    <w:rsid w:val="003D234A"/>
    <w:rsid w:val="00403ABD"/>
    <w:rsid w:val="00410D92"/>
    <w:rsid w:val="0041607B"/>
    <w:rsid w:val="0042761B"/>
    <w:rsid w:val="00433462"/>
    <w:rsid w:val="004367D0"/>
    <w:rsid w:val="004378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4A55"/>
    <w:rsid w:val="004A4162"/>
    <w:rsid w:val="004A51E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396A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A6F3D"/>
    <w:rsid w:val="006B63E0"/>
    <w:rsid w:val="006C19DD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74B8A"/>
    <w:rsid w:val="00790E2C"/>
    <w:rsid w:val="00796566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0E9D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569C7"/>
    <w:rsid w:val="00A6221E"/>
    <w:rsid w:val="00A63FA2"/>
    <w:rsid w:val="00A73C9B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0535"/>
    <w:rsid w:val="00AE1005"/>
    <w:rsid w:val="00AE3D87"/>
    <w:rsid w:val="00AE57D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165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2624D"/>
    <w:rsid w:val="00D3433C"/>
    <w:rsid w:val="00D44DF2"/>
    <w:rsid w:val="00D44E94"/>
    <w:rsid w:val="00D471E8"/>
    <w:rsid w:val="00D64C8B"/>
    <w:rsid w:val="00D64ECF"/>
    <w:rsid w:val="00D65E90"/>
    <w:rsid w:val="00D81140"/>
    <w:rsid w:val="00D82079"/>
    <w:rsid w:val="00D96076"/>
    <w:rsid w:val="00DA4564"/>
    <w:rsid w:val="00DA66B6"/>
    <w:rsid w:val="00DC47ED"/>
    <w:rsid w:val="00DD2E50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2F9A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40504"/>
    <w:rsid w:val="00F44969"/>
    <w:rsid w:val="00F54705"/>
    <w:rsid w:val="00F64C84"/>
    <w:rsid w:val="00F75242"/>
    <w:rsid w:val="00F76FC2"/>
    <w:rsid w:val="00F86CCA"/>
    <w:rsid w:val="00F9640B"/>
    <w:rsid w:val="00FA6D8A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1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CEBF-8654-444F-9F7E-79BB8AE1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C9011-F904-4873-8D9B-C0D3F3B0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4FA6-3217-4F5C-A366-93CB17D5B15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schemas.openxmlformats.org/package/2006/metadata/core-properties"/>
    <ds:schemaRef ds:uri="b8ed82f2-f7bd-423c-8698-5e132afe92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BF1E70-240F-4ED1-AB65-9454BC3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1066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1265</CharactersWithSpaces>
  <SharedDoc>false</SharedDoc>
  <HyperlinkBase>https://www.cabinet.qld.gov.au/documents/2021/Sep/ApptsQUT/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17</cp:revision>
  <cp:lastPrinted>2021-09-09T01:57:00Z</cp:lastPrinted>
  <dcterms:created xsi:type="dcterms:W3CDTF">2021-09-06T01:04:00Z</dcterms:created>
  <dcterms:modified xsi:type="dcterms:W3CDTF">2022-05-19T03:44:00Z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Order">
    <vt:r8>62600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